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中共密山市柳毛乡利民村党支部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关于巡察整改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阶段进展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情况的通报</w:t>
      </w: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10"/>
          <w:rFonts w:hint="default" w:ascii="Times New Roman" w:hAnsi="Times New Roman" w:eastAsia="微软雅黑" w:cs="Times New Roman"/>
          <w:color w:val="auto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auto"/>
          <w:shd w:val="clear" w:color="auto" w:fill="FFFFFF"/>
        </w:rPr>
        <w:t>　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　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2020年11月27日至12月27日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市委第六巡察组对利民村进行了巡察。2021年2月25日，巡察组向利民村党组织反馈了巡察意见。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按照《中国共产党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巡视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Style w:val="10"/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提高政治站位、落实主体责任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利民村党支部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将巡察反馈问题整改落实作为一项重中之重的政治任务抓好抓实，深刻思考、认真谋划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全面推进巡察整改各项工作。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（一）统一思想，强化组织领导。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利民村党支部高度重视巡察整改工作，从政治巡察、政治责任、政治要求、政治任务的高度，把巡察整改作为检验增强“四个意识”、坚定“四个自信”、做到“两个维护”的重要标尺，以最高标准、最严要求、最高质量抓好整改落实。党支部书记牵头推进整改工作，累计召开巡察整改村两委会议3次，统筹推进巡察整改任务落实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（二）压实责任，强化工作落实。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对巡察组反馈的意见，利民村党支部全盘认领、照单全收、坚决整改，制定整改方案，建立整改问题台账和整改责任清单，将3个方面15个具体问题、15条整改措施压实到具体责任人身上，明确时间节点，自觉抓好问题整改，确保问题到人、责任到人及任务到人，保障整改切实取得成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坚持问题导向、推进深入整改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针对巡察反馈意见指出的需要整改的问题，真改实效，截至目前，共计15个问题已整改完成，整改完成率为100%。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基层党组织积极贯彻落实党的路线方针政策和党中央决策部署、省委要求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农家书屋不能满足群众需要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村党支部合理规划布局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2021年3月1日到10日对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村部进行施工，单独开辟出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5平方米空间，设为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农家书屋。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月15日为农家书屋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增设了书架，对书籍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进行分类摆放，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建立了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借阅台账，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专人对农家书屋书籍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有序管理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，充分满足了群众的学习需求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泥土房拆除不彻底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4月30日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已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对未拆除彻底的泥土房进行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彻底拆除。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二是加强工作监督管理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，村党支部于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2021年4月3日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召开支委会，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对支委班子成员提出了工作要求，同时在开展工作时由党支部书记定期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对工作进展程度进行检查，提升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了村委班子的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工作执行力。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环境卫生整治不到位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村党支部已安排专人在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4月30日至5月2日期间，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对路边牛粪进行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了彻底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清理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签订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2021年保洁员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雇佣合同，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设置专人定期负责清理路边垃圾。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三是加强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环境整治宣传力度，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每周在村民微信群中发布环保信息，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呼吁村民做好自家环境卫生工作，不在路边随意丢弃垃圾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，村民对环境卫生提高了重视程度，村屯环境卫生得到了有效改善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（二）切实解决群众身边腐败和不正之风问题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着力解决“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四议两公开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制度执行不到位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一是在2021年4月对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涉及不符合审批条件的资金使用情况，按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照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“四议两公开”程序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进行逐项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补齐。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二是制作了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“四议两公开”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流程图板，在重大事项决策时严格按照制度执行。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着力解决“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白条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入账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一是在3月24日村级财务人员对相关财经纪律进行了学习，提高工作认识，杜绝相关问题再次发生。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二是充分发挥村务监督委员会职能，对村级财务情况做到了监督管理与及时公开，确保村级财务公开透明。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坐收坐支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一是在问题出现当年年末，已将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农户往来存款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进行了清账处理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二是在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3月24日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通过财经纪律学习与警示教育提高了财经纪律意识，目前村集体所收款项均按照财经制度及时入账，不再存在坐收坐支问题。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擅自扩大开支范围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83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问题涉及相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关人员已于4月14日对保险费进行了20%金额的返还，已全部存入村级集体专户。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未按规定取得原始凭证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已详细提供了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2017年付机械作业费相关使用说明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，并补充了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相关收款凭证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4月15日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参加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经管站组织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财经制度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培训，对相关业务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进行了系统的学习。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未及时上缴村级收入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通过参加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4月15日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经管站组织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财经制度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培训，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村级财务人员已认识到问题重要性，目前村集体所收款项均于每日存进村集体账户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村集体资源管理缺失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已与问题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农户进行充分沟通，重新收取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开荒地承包费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3月29日全部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存入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村集体专户。</w:t>
      </w: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三）基层党组织软弱涣散、组织力欠缺问题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组织生活开展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不规范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一是设置专人进行“三会一课”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记录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和保管，保证党建内业管理规范。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村党务工作人员在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3月11日、12日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“三会一课”制度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进行了深入学习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掌握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记录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规则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同时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杜绝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刻意留痕现象。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年3月16日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了巡察专题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组织生活会。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由支部书记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对支委成员对照检查材料进行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审核把关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，并深入开展了相互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批评，达到了组织生活会开展的目的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着力解决“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精品党日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活动开展不严肃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严格按照上级要求每月开展“精品党日”活动，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2021年已通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集中学习、党支部书记讲党课等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方式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开展8次“精品党日”活动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着力解决“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评星践诺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活动敷衍了事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对2020年度“评星践诺”写实簿进行规范填写，并加盖公章。并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开展了2020年度星级评定工作，相关测评结果已进行规范上报。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着力解决“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主题教育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活动开展不严肃、不认真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的问题。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于4月21日由党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支部书记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对存在问题党员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进行提醒谈话。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二是提高了党员对学习活动重视程度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学习活动开展过程中由党支部书记对学习活动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心得体会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相关内容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检查把关。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落实常态长效，巩固整改成效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（一）聚焦整改任务，强化责任担当。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利民村党支部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将进一步强化政治担当。坚持以党的政治建设为统领，坚持围绕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中心、建设队伍、服务群众的职责定位，把主责主业聚焦到深化理论武装、夯实基层基础、推进巡察整改等重点工作上来，把主要时间精力放在落实党建主体责任等职责任务上来，着力巩固深化整改成果。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（二）抓好后续整改，巩固工作成效。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当前，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利民村党支部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巡察整改完成了集中整改阶段性任务，下一步将按照整改方案要求，持续抓好长期坚持工作的落实和阶段整改成果的巩固。对已经完成整改的，适时“回头看”；对尚未完成整改的，跟踪抓紧落实；对需长期坚持的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严格按照规章制度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执行，发挥其效用，确保问题改扎实、改彻底、改到位。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（三）落实“两个责任”，加强自身建设。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通过持续抓巡察整改，进一步严格落实党建主体责任，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健全长效机制，打好巡察“攻坚战”“持久战”，坚决防止问题变异反弹，切实巩固整改成效，通过健全制度、举一反三，形成长效机制，进一步扎紧制度的笼子，不断扩大整改成果，确保真正把巡察整改的成效体现到推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利民村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高质量发展的实践中。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欢迎广大干部群众对巡察整改落实情况进行监督。如有意见建议,请及时向我们反映。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联系电话: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159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46707789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邮政信箱：黑龙江省密山市柳毛乡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利民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村支部委员会；邮编：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158300；电子邮箱：649080764@qq.com。</w:t>
      </w: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中共密山市柳毛乡利民村支部委员会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2021 年8月26日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D7A6DB"/>
    <w:multiLevelType w:val="singleLevel"/>
    <w:tmpl w:val="AED7A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D35D3A"/>
    <w:multiLevelType w:val="singleLevel"/>
    <w:tmpl w:val="0FD35D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F03235"/>
    <w:multiLevelType w:val="singleLevel"/>
    <w:tmpl w:val="51F032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02AC8"/>
    <w:rsid w:val="03C02AC8"/>
    <w:rsid w:val="076A1809"/>
    <w:rsid w:val="07C158E4"/>
    <w:rsid w:val="0A312E9E"/>
    <w:rsid w:val="110E0D69"/>
    <w:rsid w:val="1B7B5F0D"/>
    <w:rsid w:val="4BED0A4D"/>
    <w:rsid w:val="612E5DC6"/>
    <w:rsid w:val="6B2642C5"/>
    <w:rsid w:val="6C9B7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2021-08-21T03:32:00Z</dcterms:created>
  <dc:creator>与世无争</dc:creator>
  <cp:lastModifiedBy>Administrator</cp:lastModifiedBy>
  <dcterms:modified xsi:type="dcterms:W3CDTF">2021-11-03T02:55:58Z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800311EF949E43D89CF6DBC2E8D134FB</vt:lpwstr>
  </property>
</Properties>
</file>